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C0" w:rsidRDefault="005B37C0">
      <w:bookmarkStart w:id="0" w:name="_GoBack"/>
      <w:bookmarkEnd w:id="0"/>
    </w:p>
    <w:p w:rsidR="00EE4239" w:rsidRDefault="00EE4239"/>
    <w:p w:rsidR="00EE4239" w:rsidRPr="000D1630" w:rsidRDefault="00EE4239">
      <w:pPr>
        <w:rPr>
          <w:b/>
        </w:rPr>
      </w:pPr>
      <w:r>
        <w:rPr>
          <w:noProof/>
          <w:lang w:eastAsia="en-AU"/>
        </w:rPr>
        <w:drawing>
          <wp:inline distT="0" distB="0" distL="0" distR="0">
            <wp:extent cx="5934075" cy="1371600"/>
            <wp:effectExtent l="0" t="0" r="9525" b="0"/>
            <wp:docPr id="1" name="Picture 1" descr="C:\Users\ejackson\Pictures\PLVN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jackson\Pictures\PLVN Logo 2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239" w:rsidRDefault="00EE4239"/>
    <w:p w:rsidR="00DB25DE" w:rsidRDefault="00EE4239">
      <w:r>
        <w:t xml:space="preserve">Minutes of the </w:t>
      </w:r>
      <w:r w:rsidR="006512EB">
        <w:t>Collections Special</w:t>
      </w:r>
      <w:r>
        <w:t xml:space="preserve"> Interest Group held on </w:t>
      </w:r>
      <w:r w:rsidR="00435572">
        <w:t xml:space="preserve">Thursday, 19 May </w:t>
      </w:r>
      <w:r w:rsidR="006512EB">
        <w:t>2016</w:t>
      </w:r>
      <w:r w:rsidR="00DB25DE">
        <w:t xml:space="preserve"> </w:t>
      </w:r>
    </w:p>
    <w:p w:rsidR="006512EB" w:rsidRDefault="00DB25DE" w:rsidP="00943ECF">
      <w:r>
        <w:t xml:space="preserve">at </w:t>
      </w:r>
      <w:r w:rsidR="00435572">
        <w:t>Kathleen Syme Library, Carlton</w:t>
      </w:r>
      <w:r w:rsidR="00943ECF" w:rsidRPr="00943ECF">
        <w:rPr>
          <w:rFonts w:asciiTheme="minorHAnsi" w:hAnsiTheme="minorHAnsi"/>
          <w:sz w:val="20"/>
          <w:szCs w:val="20"/>
        </w:rPr>
        <w:t xml:space="preserve"> </w:t>
      </w:r>
    </w:p>
    <w:p w:rsidR="00EE4239" w:rsidRDefault="00EE4239"/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9639"/>
        <w:gridCol w:w="2268"/>
        <w:gridCol w:w="1276"/>
      </w:tblGrid>
      <w:tr w:rsidR="00EE4239" w:rsidRPr="00B90D9C" w:rsidTr="00F5767D">
        <w:tc>
          <w:tcPr>
            <w:tcW w:w="2411" w:type="dxa"/>
          </w:tcPr>
          <w:p w:rsidR="00EE4239" w:rsidRPr="00B90D9C" w:rsidRDefault="00EE4239" w:rsidP="005B37C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90D9C">
              <w:rPr>
                <w:rFonts w:ascii="Calibri" w:hAnsi="Calibri" w:cs="Arial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9639" w:type="dxa"/>
          </w:tcPr>
          <w:p w:rsidR="00EE4239" w:rsidRPr="00B90D9C" w:rsidRDefault="00EE4239" w:rsidP="0043557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90D9C">
              <w:rPr>
                <w:rFonts w:ascii="Calibri" w:hAnsi="Calibri" w:cs="Arial"/>
                <w:b/>
                <w:sz w:val="20"/>
                <w:szCs w:val="20"/>
              </w:rPr>
              <w:t>Minutes</w:t>
            </w:r>
            <w:r w:rsidRPr="001E22D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35572">
              <w:rPr>
                <w:rFonts w:ascii="Calibri" w:hAnsi="Calibri" w:cs="Arial"/>
                <w:sz w:val="20"/>
                <w:szCs w:val="20"/>
              </w:rPr>
              <w:t>Beth Luppino (Maribyrnong)</w:t>
            </w:r>
            <w:r w:rsidR="00D51387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D51387" w:rsidRPr="00D51387">
              <w:rPr>
                <w:rFonts w:ascii="Calibri" w:hAnsi="Calibri" w:cs="Arial"/>
                <w:b/>
                <w:sz w:val="20"/>
                <w:szCs w:val="20"/>
              </w:rPr>
              <w:t>Chair:</w:t>
            </w:r>
            <w:r w:rsidR="00435572">
              <w:rPr>
                <w:rFonts w:ascii="Calibri" w:hAnsi="Calibri" w:cs="Arial"/>
                <w:sz w:val="20"/>
                <w:szCs w:val="20"/>
              </w:rPr>
              <w:t xml:space="preserve"> Rosa Serratore (Moonee Valley)</w:t>
            </w:r>
          </w:p>
        </w:tc>
        <w:tc>
          <w:tcPr>
            <w:tcW w:w="2268" w:type="dxa"/>
          </w:tcPr>
          <w:p w:rsidR="00EE4239" w:rsidRPr="00B90D9C" w:rsidRDefault="00EE4239" w:rsidP="005B37C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90D9C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276" w:type="dxa"/>
          </w:tcPr>
          <w:p w:rsidR="00EE4239" w:rsidRPr="00B90D9C" w:rsidRDefault="00EE4239" w:rsidP="005B37C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90D9C">
              <w:rPr>
                <w:rFonts w:ascii="Calibri" w:hAnsi="Calibri" w:cs="Arial"/>
                <w:b/>
                <w:sz w:val="20"/>
                <w:szCs w:val="20"/>
              </w:rPr>
              <w:t>By</w:t>
            </w:r>
          </w:p>
        </w:tc>
      </w:tr>
      <w:tr w:rsidR="00EE4239" w:rsidRPr="00B90D9C" w:rsidTr="00F5767D">
        <w:trPr>
          <w:trHeight w:val="740"/>
        </w:trPr>
        <w:tc>
          <w:tcPr>
            <w:tcW w:w="2411" w:type="dxa"/>
          </w:tcPr>
          <w:p w:rsidR="00EE4239" w:rsidRPr="00B90D9C" w:rsidRDefault="00EE4239" w:rsidP="005B37C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90D9C">
              <w:rPr>
                <w:rFonts w:ascii="Calibri" w:hAnsi="Calibri" w:cs="Arial"/>
                <w:b/>
                <w:sz w:val="20"/>
                <w:szCs w:val="20"/>
              </w:rPr>
              <w:t>1. Attendance &amp; Apologies</w:t>
            </w:r>
          </w:p>
          <w:p w:rsidR="00EE4239" w:rsidRPr="00B90D9C" w:rsidRDefault="00EE4239" w:rsidP="005B37C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5373BF" w:rsidRDefault="003070E7" w:rsidP="001D1ACD">
            <w:pPr>
              <w:rPr>
                <w:rFonts w:asciiTheme="minorHAnsi" w:hAnsiTheme="minorHAnsi" w:cs="Tahoma"/>
                <w:sz w:val="20"/>
                <w:szCs w:val="20"/>
                <w:lang w:eastAsia="en-AU"/>
              </w:rPr>
            </w:pPr>
            <w:r w:rsidRPr="003070E7">
              <w:rPr>
                <w:rFonts w:asciiTheme="minorHAnsi" w:hAnsiTheme="minorHAnsi" w:cs="Tahoma"/>
                <w:b/>
                <w:sz w:val="20"/>
                <w:szCs w:val="20"/>
                <w:lang w:eastAsia="en-AU"/>
              </w:rPr>
              <w:t>Apologies</w:t>
            </w:r>
            <w:r w:rsidRPr="003070E7">
              <w:rPr>
                <w:rFonts w:asciiTheme="minorHAnsi" w:hAnsiTheme="minorHAnsi" w:cs="Tahoma"/>
                <w:sz w:val="20"/>
                <w:szCs w:val="20"/>
                <w:lang w:eastAsia="en-AU"/>
              </w:rPr>
              <w:t>:</w:t>
            </w:r>
            <w:r w:rsidR="005373BF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Sherrill Harvey (</w:t>
            </w:r>
            <w:hyperlink r:id="rId9" w:history="1">
              <w:r w:rsidR="005373BF" w:rsidRPr="002A0C5A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sherrill.harvey@grlc.vic.gov.au</w:t>
              </w:r>
            </w:hyperlink>
            <w:r w:rsidR="005373BF">
              <w:rPr>
                <w:rFonts w:asciiTheme="minorHAnsi" w:hAnsiTheme="minorHAnsi" w:cs="Tahoma"/>
                <w:sz w:val="20"/>
                <w:szCs w:val="20"/>
                <w:lang w:eastAsia="en-AU"/>
              </w:rPr>
              <w:t>), Tania Barry (</w:t>
            </w:r>
            <w:hyperlink r:id="rId10" w:history="1">
              <w:r w:rsidR="005373BF" w:rsidRPr="00C211FF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taniab@hume.vic.gov.au</w:t>
              </w:r>
            </w:hyperlink>
            <w:r w:rsidR="005373BF">
              <w:rPr>
                <w:rFonts w:asciiTheme="minorHAnsi" w:hAnsiTheme="minorHAnsi" w:cs="Tahoma"/>
                <w:sz w:val="20"/>
                <w:szCs w:val="20"/>
                <w:lang w:eastAsia="en-AU"/>
              </w:rPr>
              <w:t>), Susan Thomson (</w:t>
            </w:r>
            <w:hyperlink r:id="rId11" w:history="1">
              <w:r w:rsidR="005373BF" w:rsidRPr="002A0C5A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susan.thomson@cgd.vic.gov.au</w:t>
              </w:r>
            </w:hyperlink>
            <w:r w:rsidR="005373BF">
              <w:rPr>
                <w:rFonts w:asciiTheme="minorHAnsi" w:hAnsiTheme="minorHAnsi" w:cs="Tahoma"/>
                <w:sz w:val="20"/>
                <w:szCs w:val="20"/>
                <w:lang w:eastAsia="en-AU"/>
              </w:rPr>
              <w:t>), Caz Smith (</w:t>
            </w:r>
            <w:hyperlink r:id="rId12" w:history="1">
              <w:r w:rsidR="005373BF" w:rsidRPr="006355E8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carole.smith@darebin.vic.gov.au</w:t>
              </w:r>
            </w:hyperlink>
            <w:r w:rsidR="005373BF">
              <w:rPr>
                <w:rFonts w:asciiTheme="minorHAnsi" w:hAnsiTheme="minorHAnsi" w:cs="Tahoma"/>
                <w:sz w:val="20"/>
                <w:szCs w:val="20"/>
                <w:lang w:eastAsia="en-AU"/>
              </w:rPr>
              <w:t>), Debbie Tate (</w:t>
            </w:r>
            <w:hyperlink r:id="rId13" w:history="1">
              <w:r w:rsidR="005373BF" w:rsidRPr="002A0C5A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debbie.tate@melbourne.vic.gov.au</w:t>
              </w:r>
            </w:hyperlink>
            <w:r w:rsidR="005373BF">
              <w:rPr>
                <w:rFonts w:asciiTheme="minorHAnsi" w:hAnsiTheme="minorHAnsi" w:cs="Tahoma"/>
                <w:sz w:val="20"/>
                <w:szCs w:val="20"/>
                <w:lang w:eastAsia="en-AU"/>
              </w:rPr>
              <w:t>), Naomi Barr (</w:t>
            </w:r>
            <w:hyperlink r:id="rId14" w:history="1">
              <w:r w:rsidR="005373BF" w:rsidRPr="00A21024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NaomiB@egipps.vic.gov.au</w:t>
              </w:r>
            </w:hyperlink>
            <w:r w:rsidR="005373BF">
              <w:rPr>
                <w:rFonts w:asciiTheme="minorHAnsi" w:hAnsiTheme="minorHAnsi" w:cs="Tahoma"/>
                <w:sz w:val="20"/>
                <w:szCs w:val="20"/>
              </w:rPr>
              <w:t>),</w:t>
            </w:r>
            <w:r w:rsidR="005373BF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Michael Byrne (</w:t>
            </w:r>
            <w:hyperlink r:id="rId15" w:history="1">
              <w:r w:rsidR="005373BF" w:rsidRPr="006355E8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michael.byrne@maribyrnong.vic.gov.au</w:t>
              </w:r>
            </w:hyperlink>
            <w:r w:rsidR="005373BF">
              <w:rPr>
                <w:rFonts w:asciiTheme="minorHAnsi" w:hAnsiTheme="minorHAnsi" w:cs="Tahoma"/>
                <w:sz w:val="20"/>
                <w:szCs w:val="20"/>
                <w:lang w:eastAsia="en-AU"/>
              </w:rPr>
              <w:t>), Pam Sheean (</w:t>
            </w:r>
            <w:hyperlink r:id="rId16" w:history="1">
              <w:r w:rsidR="005373BF" w:rsidRPr="0022740C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  <w:lang w:val="en-US" w:eastAsia="en-AU"/>
                </w:rPr>
                <w:t>PamP@ncgrl.vic.gov.au</w:t>
              </w:r>
            </w:hyperlink>
            <w:r w:rsidR="005373BF">
              <w:rPr>
                <w:rFonts w:asciiTheme="minorHAnsi" w:eastAsia="Times New Roman" w:hAnsiTheme="minorHAnsi" w:cs="Tahoma"/>
                <w:sz w:val="20"/>
                <w:szCs w:val="20"/>
                <w:lang w:val="en-US" w:eastAsia="en-AU"/>
              </w:rPr>
              <w:t>)</w:t>
            </w:r>
            <w:r w:rsidR="005373BF">
              <w:rPr>
                <w:rFonts w:asciiTheme="minorHAnsi" w:hAnsiTheme="minorHAnsi" w:cs="Tahoma"/>
                <w:sz w:val="20"/>
                <w:szCs w:val="20"/>
                <w:lang w:eastAsia="en-AU"/>
              </w:rPr>
              <w:t>,</w:t>
            </w:r>
          </w:p>
          <w:p w:rsidR="005373BF" w:rsidRDefault="005373BF" w:rsidP="001D1ACD">
            <w:pPr>
              <w:rPr>
                <w:rFonts w:asciiTheme="minorHAnsi" w:hAnsiTheme="minorHAnsi" w:cs="Tahoma"/>
                <w:sz w:val="20"/>
                <w:szCs w:val="20"/>
                <w:lang w:eastAsia="en-AU"/>
              </w:rPr>
            </w:pPr>
          </w:p>
          <w:p w:rsidR="001D1ACD" w:rsidRDefault="001D1ACD" w:rsidP="001D1ACD">
            <w:pPr>
              <w:rPr>
                <w:rFonts w:asciiTheme="minorHAnsi" w:hAnsiTheme="minorHAnsi" w:cs="Tahoma"/>
                <w:sz w:val="20"/>
                <w:szCs w:val="20"/>
                <w:lang w:eastAsia="en-AU"/>
              </w:rPr>
            </w:pPr>
          </w:p>
          <w:p w:rsidR="005373BF" w:rsidRDefault="001D1ACD" w:rsidP="005373BF">
            <w:pPr>
              <w:rPr>
                <w:rFonts w:asciiTheme="minorHAnsi" w:hAnsiTheme="minorHAnsi" w:cs="Tahoma"/>
                <w:sz w:val="20"/>
                <w:szCs w:val="20"/>
                <w:lang w:eastAsia="en-AU"/>
              </w:rPr>
            </w:pPr>
            <w:r w:rsidRPr="003070E7">
              <w:rPr>
                <w:rFonts w:asciiTheme="minorHAnsi" w:hAnsiTheme="minorHAnsi" w:cs="Tahoma"/>
                <w:b/>
                <w:sz w:val="20"/>
                <w:szCs w:val="20"/>
                <w:lang w:eastAsia="en-AU"/>
              </w:rPr>
              <w:t>A</w:t>
            </w:r>
            <w:r>
              <w:rPr>
                <w:rFonts w:asciiTheme="minorHAnsi" w:hAnsiTheme="minorHAnsi" w:cs="Tahoma"/>
                <w:b/>
                <w:sz w:val="20"/>
                <w:szCs w:val="20"/>
                <w:lang w:eastAsia="en-AU"/>
              </w:rPr>
              <w:t>ttendance</w:t>
            </w:r>
            <w:r w:rsidRPr="003070E7">
              <w:rPr>
                <w:rFonts w:asciiTheme="minorHAnsi" w:hAnsiTheme="minorHAnsi" w:cs="Tahoma"/>
                <w:sz w:val="20"/>
                <w:szCs w:val="20"/>
                <w:lang w:eastAsia="en-AU"/>
              </w:rPr>
              <w:t>:</w:t>
            </w:r>
            <w:r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</w:t>
            </w:r>
            <w:r w:rsidR="005373BF">
              <w:rPr>
                <w:rFonts w:asciiTheme="minorHAnsi" w:hAnsiTheme="minorHAnsi" w:cs="Tahoma"/>
                <w:sz w:val="20"/>
                <w:szCs w:val="20"/>
                <w:lang w:eastAsia="en-AU"/>
              </w:rPr>
              <w:t>Beth Luppino (</w:t>
            </w:r>
            <w:hyperlink r:id="rId17" w:history="1">
              <w:r w:rsidR="005373BF" w:rsidRPr="006355E8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beth.luppino@maribyrnong.vic.gov.au</w:t>
              </w:r>
            </w:hyperlink>
            <w:r w:rsidR="005373BF">
              <w:rPr>
                <w:rFonts w:asciiTheme="minorHAnsi" w:hAnsiTheme="minorHAnsi" w:cs="Tahoma"/>
                <w:sz w:val="20"/>
                <w:szCs w:val="20"/>
                <w:lang w:eastAsia="en-AU"/>
              </w:rPr>
              <w:t>), Michelle Donelly (</w:t>
            </w:r>
            <w:hyperlink r:id="rId18" w:history="1">
              <w:r w:rsidR="005373BF" w:rsidRPr="006355E8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michelle.donelly@maribyrnong.vic.gov.au</w:t>
              </w:r>
            </w:hyperlink>
            <w:r w:rsidR="005373BF">
              <w:rPr>
                <w:rFonts w:asciiTheme="minorHAnsi" w:hAnsiTheme="minorHAnsi" w:cs="Tahoma"/>
                <w:sz w:val="20"/>
                <w:szCs w:val="20"/>
                <w:lang w:eastAsia="en-AU"/>
              </w:rPr>
              <w:t>), Anita Catoggio (</w:t>
            </w:r>
            <w:hyperlink r:id="rId19" w:history="1">
              <w:r w:rsidR="005373BF" w:rsidRPr="002A0C5A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acatoggio@yprl.vic.gov.au</w:t>
              </w:r>
            </w:hyperlink>
            <w:r w:rsidR="005373BF">
              <w:rPr>
                <w:rFonts w:asciiTheme="minorHAnsi" w:hAnsiTheme="minorHAnsi" w:cs="Tahoma"/>
                <w:sz w:val="20"/>
                <w:szCs w:val="20"/>
                <w:lang w:eastAsia="en-AU"/>
              </w:rPr>
              <w:t>), Neville Harley (</w:t>
            </w:r>
            <w:hyperlink r:id="rId20" w:history="1">
              <w:r w:rsidR="005373BF" w:rsidRPr="006355E8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neville.harley@melbourne.vic.gov.au</w:t>
              </w:r>
            </w:hyperlink>
            <w:r w:rsidR="005373BF">
              <w:rPr>
                <w:rFonts w:asciiTheme="minorHAnsi" w:hAnsiTheme="minorHAnsi" w:cs="Tahoma"/>
                <w:sz w:val="20"/>
                <w:szCs w:val="20"/>
                <w:lang w:eastAsia="en-AU"/>
              </w:rPr>
              <w:t>), Teresa Wight (</w:t>
            </w:r>
            <w:hyperlink r:id="rId21" w:history="1">
              <w:r w:rsidR="005373BF" w:rsidRPr="006355E8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teresa.wight@cclc.vic.gov.au</w:t>
              </w:r>
            </w:hyperlink>
            <w:r w:rsidR="005373BF">
              <w:rPr>
                <w:rFonts w:asciiTheme="minorHAnsi" w:hAnsiTheme="minorHAnsi" w:cs="Tahoma"/>
                <w:sz w:val="20"/>
                <w:szCs w:val="20"/>
                <w:lang w:eastAsia="en-AU"/>
              </w:rPr>
              <w:t>), Rosa Serratore (</w:t>
            </w:r>
            <w:hyperlink r:id="rId22" w:history="1">
              <w:r w:rsidR="005373BF" w:rsidRPr="006355E8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rserratore@mvcc.vic.gov.au</w:t>
              </w:r>
            </w:hyperlink>
            <w:r w:rsidR="005373BF">
              <w:rPr>
                <w:rFonts w:asciiTheme="minorHAnsi" w:hAnsiTheme="minorHAnsi" w:cs="Tahoma"/>
                <w:sz w:val="20"/>
                <w:szCs w:val="20"/>
                <w:lang w:eastAsia="en-AU"/>
              </w:rPr>
              <w:t>), Terry May (</w:t>
            </w:r>
            <w:hyperlink r:id="rId23" w:history="1">
              <w:r w:rsidR="005373BF" w:rsidRPr="006355E8">
                <w:rPr>
                  <w:rStyle w:val="Hyperlink"/>
                  <w:rFonts w:asciiTheme="minorHAnsi" w:hAnsiTheme="minorHAnsi" w:cs="Tahoma"/>
                  <w:sz w:val="20"/>
                  <w:szCs w:val="20"/>
                  <w:lang w:eastAsia="en-AU"/>
                </w:rPr>
                <w:t>terrym@melton.vic.gov.au</w:t>
              </w:r>
            </w:hyperlink>
            <w:r w:rsidR="005373BF">
              <w:rPr>
                <w:rFonts w:asciiTheme="minorHAnsi" w:hAnsiTheme="minorHAnsi" w:cs="Tahoma"/>
                <w:sz w:val="20"/>
                <w:szCs w:val="20"/>
                <w:lang w:eastAsia="en-AU"/>
              </w:rPr>
              <w:t>),</w:t>
            </w:r>
          </w:p>
          <w:p w:rsidR="005373BF" w:rsidRDefault="005373BF" w:rsidP="005373BF">
            <w:pPr>
              <w:rPr>
                <w:rFonts w:asciiTheme="minorHAnsi" w:hAnsiTheme="minorHAnsi" w:cs="Tahoma"/>
                <w:sz w:val="20"/>
                <w:szCs w:val="20"/>
                <w:lang w:eastAsia="en-AU"/>
              </w:rPr>
            </w:pPr>
          </w:p>
          <w:p w:rsidR="000F4559" w:rsidRPr="003070E7" w:rsidRDefault="000F4559" w:rsidP="005373B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E4239" w:rsidRPr="00B90D9C" w:rsidRDefault="00EE4239" w:rsidP="005B37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4239" w:rsidRPr="00B90D9C" w:rsidRDefault="00EE4239" w:rsidP="005B37C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239" w:rsidRPr="00B90D9C" w:rsidTr="00F5767D">
        <w:tc>
          <w:tcPr>
            <w:tcW w:w="2411" w:type="dxa"/>
          </w:tcPr>
          <w:p w:rsidR="00EE4239" w:rsidRPr="00B90D9C" w:rsidRDefault="00EE4239" w:rsidP="005B37C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90D9C">
              <w:rPr>
                <w:rFonts w:ascii="Calibri" w:hAnsi="Calibri" w:cs="Arial"/>
                <w:b/>
                <w:sz w:val="20"/>
                <w:szCs w:val="20"/>
              </w:rPr>
              <w:t xml:space="preserve">2. Confirmation of Minutes. </w:t>
            </w:r>
          </w:p>
        </w:tc>
        <w:tc>
          <w:tcPr>
            <w:tcW w:w="9639" w:type="dxa"/>
          </w:tcPr>
          <w:p w:rsidR="00EE4239" w:rsidRPr="00B90D9C" w:rsidRDefault="00EE4F3F" w:rsidP="005B37C0">
            <w:pPr>
              <w:tabs>
                <w:tab w:val="left" w:pos="2539"/>
                <w:tab w:val="left" w:pos="432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Minutes from 17 March confirmed</w:t>
            </w:r>
          </w:p>
        </w:tc>
        <w:tc>
          <w:tcPr>
            <w:tcW w:w="2268" w:type="dxa"/>
          </w:tcPr>
          <w:p w:rsidR="00EE4239" w:rsidRPr="00B90D9C" w:rsidRDefault="00EE4239" w:rsidP="005B37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4239" w:rsidRPr="00B90D9C" w:rsidRDefault="00EE4239" w:rsidP="005B37C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239" w:rsidRPr="00B90D9C" w:rsidTr="00F5767D">
        <w:trPr>
          <w:trHeight w:val="347"/>
        </w:trPr>
        <w:tc>
          <w:tcPr>
            <w:tcW w:w="2411" w:type="dxa"/>
          </w:tcPr>
          <w:p w:rsidR="00EE4239" w:rsidRPr="00B90D9C" w:rsidRDefault="00EE4239" w:rsidP="005B37C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90D9C">
              <w:rPr>
                <w:rFonts w:ascii="Calibri" w:hAnsi="Calibri" w:cs="Arial"/>
                <w:b/>
                <w:sz w:val="20"/>
                <w:szCs w:val="20"/>
              </w:rPr>
              <w:t xml:space="preserve">3. Business Arising </w:t>
            </w:r>
            <w:r w:rsidR="0042031F">
              <w:rPr>
                <w:rFonts w:ascii="Calibri" w:hAnsi="Calibri" w:cs="Arial"/>
                <w:b/>
                <w:sz w:val="20"/>
                <w:szCs w:val="20"/>
              </w:rPr>
              <w:t>/ Welcome</w:t>
            </w:r>
          </w:p>
        </w:tc>
        <w:tc>
          <w:tcPr>
            <w:tcW w:w="9639" w:type="dxa"/>
          </w:tcPr>
          <w:p w:rsidR="00DB0934" w:rsidRPr="004D489A" w:rsidRDefault="00A35876" w:rsidP="004D489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sz w:val="20"/>
                <w:szCs w:val="20"/>
              </w:rPr>
            </w:pPr>
            <w:r w:rsidRPr="004D489A">
              <w:rPr>
                <w:rFonts w:ascii="Calibri" w:hAnsi="Calibri" w:cs="Arial"/>
                <w:sz w:val="20"/>
                <w:szCs w:val="20"/>
              </w:rPr>
              <w:t xml:space="preserve">Venue for Collections SIG meetings for remainder of </w:t>
            </w:r>
            <w:r w:rsidR="00407DCF" w:rsidRPr="004D489A">
              <w:rPr>
                <w:rFonts w:ascii="Calibri" w:hAnsi="Calibri" w:cs="Arial"/>
                <w:sz w:val="20"/>
                <w:szCs w:val="20"/>
              </w:rPr>
              <w:t>2016 -</w:t>
            </w:r>
            <w:r w:rsidRPr="004D489A">
              <w:rPr>
                <w:rFonts w:ascii="Calibri" w:hAnsi="Calibri" w:cs="Arial"/>
                <w:sz w:val="20"/>
                <w:szCs w:val="20"/>
              </w:rPr>
              <w:t xml:space="preserve"> MAV has been booked and confirmed.</w:t>
            </w:r>
          </w:p>
          <w:p w:rsidR="00A35876" w:rsidRDefault="00A35876" w:rsidP="004D489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4D489A">
              <w:rPr>
                <w:rFonts w:ascii="Calibri" w:hAnsi="Calibri" w:cs="Arial"/>
                <w:sz w:val="20"/>
                <w:szCs w:val="20"/>
              </w:rPr>
              <w:t>Kate Torney – possible appearance at July Collections SIG meeting – She</w:t>
            </w:r>
            <w:r w:rsidR="004D489A" w:rsidRPr="004D489A">
              <w:rPr>
                <w:rFonts w:ascii="Calibri" w:hAnsi="Calibri" w:cs="Arial"/>
                <w:sz w:val="20"/>
                <w:szCs w:val="20"/>
              </w:rPr>
              <w:t>r</w:t>
            </w:r>
            <w:r w:rsidRPr="004D489A">
              <w:rPr>
                <w:rFonts w:ascii="Calibri" w:hAnsi="Calibri" w:cs="Arial"/>
                <w:sz w:val="20"/>
                <w:szCs w:val="20"/>
              </w:rPr>
              <w:t xml:space="preserve">rill followed up with </w:t>
            </w:r>
            <w:r w:rsidR="004D489A" w:rsidRPr="004D489A">
              <w:rPr>
                <w:rFonts w:ascii="Calibri" w:hAnsi="Calibri" w:cs="Arial"/>
                <w:sz w:val="20"/>
                <w:szCs w:val="20"/>
              </w:rPr>
              <w:t xml:space="preserve">Debra Rosenfelt. Kate will be speaking at the Collections Directions seminar </w:t>
            </w:r>
            <w:r w:rsidR="004D489A" w:rsidRPr="004D489A">
              <w:rPr>
                <w:rFonts w:asciiTheme="minorHAnsi" w:hAnsiTheme="minorHAnsi" w:cs="Arial"/>
                <w:sz w:val="20"/>
                <w:szCs w:val="20"/>
              </w:rPr>
              <w:t xml:space="preserve">on </w:t>
            </w:r>
            <w:r w:rsidR="004D489A" w:rsidRPr="004D489A">
              <w:rPr>
                <w:rFonts w:asciiTheme="minorHAnsi" w:hAnsiTheme="minorHAnsi"/>
                <w:sz w:val="20"/>
                <w:szCs w:val="20"/>
              </w:rPr>
              <w:t>Tuesday 7 June 2016 from 9.30 – 4.30.  Given this, it is not realistic to ask Kate to attend the July meeting as well.</w:t>
            </w:r>
          </w:p>
          <w:p w:rsidR="004D489A" w:rsidRPr="004D489A" w:rsidRDefault="004D489A" w:rsidP="004D489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Michael Byrne asked anyone who is interested in participating on a small working group to revise </w:t>
            </w:r>
            <w:r w:rsidR="00407DCF">
              <w:rPr>
                <w:rFonts w:asciiTheme="minorHAnsi" w:hAnsiTheme="minorHAnsi"/>
                <w:sz w:val="20"/>
                <w:szCs w:val="20"/>
              </w:rPr>
              <w:t>the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Collections SIG Terms of R</w:t>
            </w:r>
            <w:r w:rsidR="00407DCF">
              <w:rPr>
                <w:rFonts w:asciiTheme="minorHAnsi" w:hAnsiTheme="minorHAnsi"/>
                <w:sz w:val="20"/>
                <w:szCs w:val="20"/>
              </w:rPr>
              <w:t>eference, please email Sherrill asap.</w:t>
            </w:r>
          </w:p>
          <w:p w:rsidR="004D489A" w:rsidRPr="00CB520E" w:rsidRDefault="004D489A" w:rsidP="004D489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4239" w:rsidRDefault="00EE4239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07DCF" w:rsidRDefault="00407DCF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07DCF" w:rsidRDefault="00407DCF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07DCF" w:rsidRDefault="00407DCF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07DCF" w:rsidRDefault="00407DCF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07DCF" w:rsidRPr="00B90D9C" w:rsidRDefault="00407DCF" w:rsidP="005B37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Email Sherrill to be part </w:t>
            </w:r>
            <w:r>
              <w:rPr>
                <w:rFonts w:ascii="Calibri" w:hAnsi="Calibri" w:cs="Arial"/>
                <w:sz w:val="20"/>
                <w:szCs w:val="20"/>
              </w:rPr>
              <w:lastRenderedPageBreak/>
              <w:t>of Terms of Reference revision working group</w:t>
            </w:r>
          </w:p>
        </w:tc>
        <w:tc>
          <w:tcPr>
            <w:tcW w:w="1276" w:type="dxa"/>
          </w:tcPr>
          <w:p w:rsidR="00EE4239" w:rsidRPr="00B90D9C" w:rsidRDefault="00EE4239" w:rsidP="005B37C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239" w:rsidRPr="00B90D9C" w:rsidTr="00F5767D">
        <w:trPr>
          <w:trHeight w:val="584"/>
        </w:trPr>
        <w:tc>
          <w:tcPr>
            <w:tcW w:w="2411" w:type="dxa"/>
          </w:tcPr>
          <w:p w:rsidR="00EE4239" w:rsidRPr="00B90D9C" w:rsidRDefault="00EE4239" w:rsidP="00A3587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4.</w:t>
            </w:r>
            <w:r w:rsidR="006512E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A35876">
              <w:rPr>
                <w:rFonts w:ascii="Calibri" w:hAnsi="Calibri" w:cs="Arial"/>
                <w:b/>
                <w:sz w:val="20"/>
                <w:szCs w:val="20"/>
              </w:rPr>
              <w:t>Focus topic: Reference and Information Services – where to from here?</w:t>
            </w:r>
          </w:p>
        </w:tc>
        <w:tc>
          <w:tcPr>
            <w:tcW w:w="9639" w:type="dxa"/>
          </w:tcPr>
          <w:p w:rsidR="00407DCF" w:rsidRDefault="00407DCF" w:rsidP="00A3587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Rosa spoke to the presentation prepared by Deb and Rosa on this topic. To prepare this, they had met with Collections reps from SLV to discuss how Reference Services</w:t>
            </w:r>
            <w:r w:rsidR="00ED6327">
              <w:rPr>
                <w:rFonts w:ascii="Calibri" w:hAnsi="Calibri" w:cs="Arial"/>
                <w:sz w:val="20"/>
                <w:szCs w:val="20"/>
              </w:rPr>
              <w:t xml:space="preserve"> are assessed, developed and adapted in the State Library </w:t>
            </w:r>
            <w:r w:rsidR="00BF4E35">
              <w:rPr>
                <w:rFonts w:ascii="Calibri" w:hAnsi="Calibri" w:cs="Arial"/>
                <w:sz w:val="20"/>
                <w:szCs w:val="20"/>
              </w:rPr>
              <w:t>environment</w:t>
            </w:r>
            <w:r w:rsidR="00ED6327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:rsidR="00DB25DE" w:rsidRDefault="00A35876" w:rsidP="00A3587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Information services: An evident shift from traditional research questions (helping students with assignments, and literary research queries) to questions around digital access and eGov topics </w:t>
            </w:r>
          </w:p>
          <w:p w:rsidR="00A35876" w:rsidRDefault="00A35876" w:rsidP="00A3587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Group discussion on the decline in interest/need for research article-based databases</w:t>
            </w:r>
          </w:p>
          <w:p w:rsidR="00A35876" w:rsidRDefault="00A35876" w:rsidP="00A3587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Group discussion re. a way forward for online database subscriptions. </w:t>
            </w:r>
            <w:r w:rsidR="00407DCF">
              <w:rPr>
                <w:rFonts w:ascii="Calibri" w:hAnsi="Calibri" w:cs="Arial"/>
                <w:sz w:val="20"/>
                <w:szCs w:val="20"/>
              </w:rPr>
              <w:t>Those present interested in investigating a group subscription to CHOICE</w:t>
            </w:r>
          </w:p>
          <w:p w:rsidR="009E7D2F" w:rsidRDefault="009E7D2F" w:rsidP="009E7D2F">
            <w:pPr>
              <w:pStyle w:val="ListParagraph"/>
              <w:rPr>
                <w:rFonts w:ascii="Calibri" w:hAnsi="Calibri" w:cs="Arial"/>
                <w:sz w:val="20"/>
                <w:szCs w:val="20"/>
              </w:rPr>
            </w:pPr>
          </w:p>
          <w:p w:rsidR="009E7D2F" w:rsidRDefault="009E7D2F" w:rsidP="009E7D2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E7D2F" w:rsidRDefault="009E7D2F" w:rsidP="009E7D2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E7D2F" w:rsidRDefault="009E7D2F" w:rsidP="009E7D2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E7D2F" w:rsidRDefault="009E7D2F" w:rsidP="009E7D2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E7D2F" w:rsidRPr="009E7D2F" w:rsidRDefault="009E7D2F" w:rsidP="009E7D2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07DCF" w:rsidRDefault="00407DCF" w:rsidP="00A3587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Jumpstart training – Participants recommend this for updating wider reference and searching skills. Focus on the search skills we currently need to assist customer requests.</w:t>
            </w:r>
          </w:p>
          <w:p w:rsidR="00407DCF" w:rsidRDefault="00ED6327" w:rsidP="00A3587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Rosa will circulate SLV EResource evaluation template, and the wording SLV suggests to accompany the SLV link on Public Library websites.</w:t>
            </w:r>
          </w:p>
          <w:p w:rsidR="009E7D2F" w:rsidRDefault="009E7D2F" w:rsidP="009E7D2F">
            <w:pPr>
              <w:pStyle w:val="ListParagraph"/>
              <w:rPr>
                <w:rFonts w:ascii="Calibri" w:hAnsi="Calibri" w:cs="Arial"/>
                <w:sz w:val="20"/>
                <w:szCs w:val="20"/>
              </w:rPr>
            </w:pPr>
          </w:p>
          <w:p w:rsidR="009E7D2F" w:rsidRPr="00A35876" w:rsidRDefault="009E7D2F" w:rsidP="009E7D2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Group discussion on recent state-wide training opportunity ‘Redefining Reference in a Digital World’. General consensus was that it seemed to have limited value in advancing thinking on the subject, and focus was more on suppliers gauging where their future lies.</w:t>
            </w:r>
          </w:p>
        </w:tc>
        <w:tc>
          <w:tcPr>
            <w:tcW w:w="2268" w:type="dxa"/>
          </w:tcPr>
          <w:p w:rsidR="00EE4239" w:rsidRDefault="00EE4239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07DCF" w:rsidRDefault="00407DCF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07DCF" w:rsidRDefault="00407DCF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E7D2F" w:rsidRDefault="009E7D2F" w:rsidP="00407DC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E7D2F" w:rsidRDefault="009E7D2F" w:rsidP="00407DC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E7D2F" w:rsidRDefault="009E7D2F" w:rsidP="00407DC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E7D2F" w:rsidRDefault="009E7D2F" w:rsidP="00407DC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07DCF" w:rsidRDefault="00407DCF" w:rsidP="00407DC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Teresa Wight to investigate CHOICE </w:t>
            </w:r>
            <w:r w:rsidR="00ED6327">
              <w:rPr>
                <w:rFonts w:ascii="Calibri" w:hAnsi="Calibri" w:cs="Arial"/>
                <w:sz w:val="20"/>
                <w:szCs w:val="20"/>
              </w:rPr>
              <w:t>subscriptions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in the new FY. Anyone interested in working on this to email Teresa directly</w:t>
            </w:r>
          </w:p>
          <w:p w:rsidR="00ED6327" w:rsidRDefault="00ED6327" w:rsidP="00407DC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E7D2F" w:rsidRDefault="009E7D2F" w:rsidP="00407DC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E7D2F" w:rsidRDefault="009E7D2F" w:rsidP="00407DC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E7D2F" w:rsidRDefault="009E7D2F" w:rsidP="00407DC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Rosa to circulate SLV evaluation template</w:t>
            </w:r>
          </w:p>
          <w:p w:rsidR="00ED6327" w:rsidRDefault="00ED6327" w:rsidP="00407DC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D6327" w:rsidRDefault="00ED6327" w:rsidP="00407DC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D6327" w:rsidRDefault="00ED6327" w:rsidP="00407DC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D6327" w:rsidRDefault="00ED6327" w:rsidP="00407DC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D6327" w:rsidRPr="00B90D9C" w:rsidRDefault="00ED6327" w:rsidP="00407DC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4239" w:rsidRPr="00B90D9C" w:rsidRDefault="00EE4239" w:rsidP="005B37C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A4FF1" w:rsidRPr="00B90D9C" w:rsidTr="00F5767D">
        <w:trPr>
          <w:trHeight w:val="1014"/>
        </w:trPr>
        <w:tc>
          <w:tcPr>
            <w:tcW w:w="2411" w:type="dxa"/>
          </w:tcPr>
          <w:p w:rsidR="006A4FF1" w:rsidRDefault="00831844" w:rsidP="00831844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  <w:r w:rsidR="006A4FF1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Service Updates</w:t>
            </w:r>
          </w:p>
        </w:tc>
        <w:tc>
          <w:tcPr>
            <w:tcW w:w="9639" w:type="dxa"/>
          </w:tcPr>
          <w:p w:rsidR="00D35C9A" w:rsidRDefault="00676BFA" w:rsidP="00676BFA">
            <w:pPr>
              <w:rPr>
                <w:rFonts w:asciiTheme="minorHAnsi" w:eastAsia="Times New Roman" w:hAnsiTheme="minorHAnsi" w:cs="Arial"/>
                <w:bCs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color w:val="262626"/>
                <w:sz w:val="20"/>
                <w:szCs w:val="20"/>
              </w:rPr>
              <w:t>CCLC: CEO and Collections TL positions now vacant. Acting CEO has been appointed, Collections TL role to remain unfilled for now. In process of implementing NF Genre collections.</w:t>
            </w:r>
          </w:p>
          <w:p w:rsidR="00676BFA" w:rsidRDefault="00676BFA" w:rsidP="00676BFA">
            <w:pPr>
              <w:rPr>
                <w:rFonts w:asciiTheme="minorHAnsi" w:eastAsia="Times New Roman" w:hAnsiTheme="minorHAnsi" w:cs="Arial"/>
                <w:bCs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color w:val="262626"/>
                <w:sz w:val="20"/>
                <w:szCs w:val="20"/>
              </w:rPr>
              <w:t>YPRLC: New CEO. Collection HQ will be implemented in new FY. Project officer employed 0.2 for one year to help implement this and roll-out across branches.</w:t>
            </w:r>
          </w:p>
          <w:p w:rsidR="00676BFA" w:rsidRDefault="00676BFA" w:rsidP="00676BFA">
            <w:pPr>
              <w:rPr>
                <w:rFonts w:asciiTheme="minorHAnsi" w:eastAsia="Times New Roman" w:hAnsiTheme="minorHAnsi" w:cs="Arial"/>
                <w:bCs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color w:val="262626"/>
                <w:sz w:val="20"/>
                <w:szCs w:val="20"/>
              </w:rPr>
              <w:t>MelbLS: Now has SPYDUS. This has resulted in improvements to cataloguing/shelf-ready processes, but has slowed acquisitions.</w:t>
            </w:r>
          </w:p>
          <w:p w:rsidR="00676BFA" w:rsidRDefault="00676BFA" w:rsidP="00676BFA">
            <w:pPr>
              <w:rPr>
                <w:rFonts w:asciiTheme="minorHAnsi" w:eastAsia="Times New Roman" w:hAnsiTheme="minorHAnsi" w:cs="Arial"/>
                <w:bCs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color w:val="262626"/>
                <w:sz w:val="20"/>
                <w:szCs w:val="20"/>
              </w:rPr>
              <w:t>Melton: Now has Borrowbox. Will implement Genres for NF, planning now in process. Collections HQ rolled out, and staff training underway.</w:t>
            </w:r>
          </w:p>
          <w:p w:rsidR="00676BFA" w:rsidRDefault="00676BFA" w:rsidP="00676BFA">
            <w:pPr>
              <w:rPr>
                <w:rFonts w:asciiTheme="minorHAnsi" w:eastAsia="Times New Roman" w:hAnsiTheme="minorHAnsi" w:cs="Arial"/>
                <w:bCs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color w:val="262626"/>
                <w:sz w:val="20"/>
                <w:szCs w:val="20"/>
              </w:rPr>
              <w:t>MariLS: Collection HQ used at all branches. Scheduling in place. Now focus on reports.</w:t>
            </w:r>
          </w:p>
          <w:p w:rsidR="00676BFA" w:rsidRDefault="00676BFA" w:rsidP="00676BFA">
            <w:pPr>
              <w:rPr>
                <w:rFonts w:asciiTheme="minorHAnsi" w:eastAsia="Times New Roman" w:hAnsiTheme="minorHAnsi" w:cs="Arial"/>
                <w:bCs/>
                <w:color w:val="26262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color w:val="262626"/>
                <w:sz w:val="20"/>
                <w:szCs w:val="20"/>
              </w:rPr>
              <w:t>Mooney VLS: Collection HQ implemented – have only 3 data sets so far, concentrating on dead item removal. Has identified lack of usage (LOTE collections).</w:t>
            </w:r>
          </w:p>
          <w:p w:rsidR="00676BFA" w:rsidRPr="00D35C9A" w:rsidRDefault="00676BFA" w:rsidP="00676BFA">
            <w:pPr>
              <w:rPr>
                <w:rFonts w:asciiTheme="minorHAnsi" w:eastAsia="Times New Roman" w:hAnsiTheme="minorHAnsi" w:cs="Arial"/>
                <w:bCs/>
                <w:color w:val="262626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49D1" w:rsidRPr="00B90D9C" w:rsidRDefault="00D649D1" w:rsidP="00D649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49D1" w:rsidRDefault="00D649D1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D649D1" w:rsidRDefault="00D649D1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D649D1" w:rsidRDefault="00D649D1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D649D1" w:rsidRDefault="00D649D1" w:rsidP="005B37C0">
            <w:pPr>
              <w:rPr>
                <w:rFonts w:ascii="Calibri" w:hAnsi="Calibri"/>
                <w:sz w:val="20"/>
                <w:szCs w:val="20"/>
              </w:rPr>
            </w:pPr>
          </w:p>
          <w:p w:rsidR="00D649D1" w:rsidRPr="00B90D9C" w:rsidRDefault="00D649D1" w:rsidP="005B37C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B25DE" w:rsidRPr="00B90D9C" w:rsidTr="00F5767D">
        <w:tc>
          <w:tcPr>
            <w:tcW w:w="2411" w:type="dxa"/>
          </w:tcPr>
          <w:p w:rsidR="00DB25DE" w:rsidRDefault="00831844" w:rsidP="005B37C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6</w:t>
            </w:r>
            <w:r w:rsidR="005B37C0">
              <w:rPr>
                <w:rFonts w:ascii="Calibri" w:hAnsi="Calibri" w:cs="Arial"/>
                <w:b/>
                <w:sz w:val="20"/>
                <w:szCs w:val="20"/>
              </w:rPr>
              <w:t>. Library Tour</w:t>
            </w:r>
          </w:p>
        </w:tc>
        <w:tc>
          <w:tcPr>
            <w:tcW w:w="9639" w:type="dxa"/>
          </w:tcPr>
          <w:p w:rsidR="00DB25DE" w:rsidRPr="00210A33" w:rsidRDefault="005B37C0" w:rsidP="00BF4E3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0A33">
              <w:rPr>
                <w:rFonts w:asciiTheme="minorHAnsi" w:hAnsiTheme="minorHAnsi" w:cs="Arial"/>
                <w:sz w:val="20"/>
                <w:szCs w:val="20"/>
              </w:rPr>
              <w:t xml:space="preserve">Thanks to </w:t>
            </w:r>
            <w:r w:rsidR="00BF4E35">
              <w:rPr>
                <w:rFonts w:asciiTheme="minorHAnsi" w:hAnsiTheme="minorHAnsi" w:cs="Arial"/>
                <w:sz w:val="20"/>
                <w:szCs w:val="20"/>
              </w:rPr>
              <w:t>Neville Harley and Melbourne Library Service for the tour and meeting space.</w:t>
            </w:r>
          </w:p>
        </w:tc>
        <w:tc>
          <w:tcPr>
            <w:tcW w:w="2268" w:type="dxa"/>
          </w:tcPr>
          <w:p w:rsidR="00DB25DE" w:rsidRPr="00B90D9C" w:rsidRDefault="00DB25DE" w:rsidP="005B37C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25DE" w:rsidRPr="00B90D9C" w:rsidRDefault="00DB25DE" w:rsidP="005B37C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E4239" w:rsidRDefault="00EE4239" w:rsidP="00EE4239">
      <w:pPr>
        <w:rPr>
          <w:rFonts w:ascii="Calibri" w:hAnsi="Calibri"/>
          <w:b/>
          <w:sz w:val="20"/>
          <w:szCs w:val="20"/>
        </w:rPr>
      </w:pPr>
    </w:p>
    <w:p w:rsidR="00E71B43" w:rsidRDefault="00E71B43" w:rsidP="00EE4239">
      <w:pPr>
        <w:rPr>
          <w:rFonts w:ascii="Calibri" w:hAnsi="Calibri"/>
          <w:b/>
          <w:sz w:val="20"/>
          <w:szCs w:val="20"/>
        </w:rPr>
      </w:pPr>
    </w:p>
    <w:p w:rsidR="00EE4239" w:rsidRPr="004A3AE7" w:rsidRDefault="00EE4239" w:rsidP="004A3AE7">
      <w:pPr>
        <w:tabs>
          <w:tab w:val="left" w:pos="4320"/>
        </w:tabs>
        <w:ind w:left="-426"/>
        <w:rPr>
          <w:rFonts w:cs="Arial"/>
          <w:b/>
          <w:sz w:val="20"/>
          <w:szCs w:val="20"/>
        </w:rPr>
      </w:pPr>
      <w:r w:rsidRPr="004A3AE7">
        <w:rPr>
          <w:rFonts w:cs="Arial"/>
          <w:b/>
          <w:sz w:val="20"/>
          <w:szCs w:val="20"/>
        </w:rPr>
        <w:t xml:space="preserve">Future Meeting Dates </w:t>
      </w:r>
      <w:r w:rsidR="005B37C0" w:rsidRPr="004A3AE7">
        <w:rPr>
          <w:rFonts w:cs="Arial"/>
          <w:b/>
          <w:sz w:val="20"/>
          <w:szCs w:val="20"/>
        </w:rPr>
        <w:t>and Information</w:t>
      </w:r>
    </w:p>
    <w:p w:rsidR="00EE4239" w:rsidRPr="006A37F2" w:rsidRDefault="00EE4239" w:rsidP="00EE4239">
      <w:pPr>
        <w:tabs>
          <w:tab w:val="left" w:pos="4320"/>
        </w:tabs>
        <w:rPr>
          <w:rFonts w:cs="Arial"/>
          <w:b/>
          <w:sz w:val="20"/>
          <w:szCs w:val="20"/>
        </w:rPr>
      </w:pPr>
    </w:p>
    <w:tbl>
      <w:tblPr>
        <w:tblStyle w:val="TableGrid"/>
        <w:tblW w:w="15594" w:type="dxa"/>
        <w:tblInd w:w="-318" w:type="dxa"/>
        <w:tblLook w:val="04A0" w:firstRow="1" w:lastRow="0" w:firstColumn="1" w:lastColumn="0" w:noHBand="0" w:noVBand="1"/>
      </w:tblPr>
      <w:tblGrid>
        <w:gridCol w:w="1986"/>
        <w:gridCol w:w="3155"/>
        <w:gridCol w:w="3858"/>
        <w:gridCol w:w="2652"/>
        <w:gridCol w:w="3943"/>
      </w:tblGrid>
      <w:tr w:rsidR="001E22D0" w:rsidRPr="00EF157E" w:rsidTr="00E71B43"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2D0" w:rsidRPr="00EF157E" w:rsidRDefault="001E22D0" w:rsidP="005B37C0">
            <w:pPr>
              <w:jc w:val="center"/>
              <w:rPr>
                <w:rFonts w:asciiTheme="minorHAnsi" w:hAnsiTheme="minorHAnsi"/>
                <w:b/>
              </w:rPr>
            </w:pPr>
            <w:r w:rsidRPr="00EF157E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2D0" w:rsidRPr="00EF157E" w:rsidRDefault="001E22D0" w:rsidP="005B37C0">
            <w:pPr>
              <w:jc w:val="center"/>
              <w:rPr>
                <w:rFonts w:asciiTheme="minorHAnsi" w:hAnsiTheme="minorHAnsi"/>
                <w:b/>
              </w:rPr>
            </w:pPr>
            <w:r w:rsidRPr="00EF157E">
              <w:rPr>
                <w:rFonts w:asciiTheme="minorHAnsi" w:hAnsiTheme="minorHAnsi"/>
                <w:b/>
              </w:rPr>
              <w:t>Location</w:t>
            </w:r>
          </w:p>
        </w:tc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2D0" w:rsidRPr="00EF157E" w:rsidRDefault="001E22D0" w:rsidP="005B37C0">
            <w:pPr>
              <w:jc w:val="center"/>
              <w:rPr>
                <w:rFonts w:asciiTheme="minorHAnsi" w:hAnsiTheme="minorHAnsi"/>
                <w:b/>
              </w:rPr>
            </w:pPr>
            <w:r w:rsidRPr="00EF157E">
              <w:rPr>
                <w:rFonts w:asciiTheme="minorHAnsi" w:hAnsiTheme="minorHAnsi"/>
                <w:b/>
              </w:rPr>
              <w:t>Theme / Guest speaker / Vendor presentation</w:t>
            </w: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2D0" w:rsidRPr="00EF157E" w:rsidRDefault="00EF157E" w:rsidP="005B37C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Theme</w:t>
            </w:r>
            <w:r w:rsidR="00AA1016" w:rsidRPr="00EF157E">
              <w:rPr>
                <w:rFonts w:asciiTheme="minorHAnsi" w:hAnsiTheme="minorHAnsi"/>
                <w:b/>
              </w:rPr>
              <w:t xml:space="preserve"> </w:t>
            </w:r>
            <w:r w:rsidR="001E22D0" w:rsidRPr="00EF157E">
              <w:rPr>
                <w:rFonts w:asciiTheme="minorHAnsi" w:hAnsiTheme="minorHAnsi"/>
                <w:b/>
              </w:rPr>
              <w:t>facilitator</w:t>
            </w:r>
          </w:p>
        </w:tc>
        <w:tc>
          <w:tcPr>
            <w:tcW w:w="3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2D0" w:rsidRPr="00EF157E" w:rsidRDefault="001E22D0" w:rsidP="005B37C0">
            <w:pPr>
              <w:jc w:val="center"/>
              <w:rPr>
                <w:rFonts w:asciiTheme="minorHAnsi" w:hAnsiTheme="minorHAnsi"/>
                <w:b/>
              </w:rPr>
            </w:pPr>
            <w:r w:rsidRPr="00EF157E">
              <w:rPr>
                <w:rFonts w:asciiTheme="minorHAnsi" w:hAnsiTheme="minorHAnsi"/>
                <w:b/>
              </w:rPr>
              <w:t>Minute taker</w:t>
            </w:r>
          </w:p>
          <w:p w:rsidR="003F756C" w:rsidRPr="00EF157E" w:rsidRDefault="003F756C" w:rsidP="005B37C0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EF157E">
              <w:rPr>
                <w:rFonts w:asciiTheme="minorHAnsi" w:hAnsiTheme="minorHAnsi"/>
                <w:b/>
                <w:color w:val="FF0000"/>
              </w:rPr>
              <w:t>Volunteers required</w:t>
            </w:r>
          </w:p>
        </w:tc>
      </w:tr>
      <w:tr w:rsidR="001E22D0" w:rsidTr="00E71B43">
        <w:trPr>
          <w:trHeight w:val="780"/>
        </w:trPr>
        <w:tc>
          <w:tcPr>
            <w:tcW w:w="1986" w:type="dxa"/>
            <w:tcBorders>
              <w:left w:val="single" w:sz="12" w:space="0" w:color="auto"/>
            </w:tcBorders>
          </w:tcPr>
          <w:p w:rsidR="001E22D0" w:rsidRPr="00BA7516" w:rsidRDefault="001E22D0">
            <w:pPr>
              <w:rPr>
                <w:rFonts w:asciiTheme="minorHAnsi" w:hAnsiTheme="minorHAnsi"/>
                <w:sz w:val="20"/>
                <w:szCs w:val="20"/>
              </w:rPr>
            </w:pPr>
            <w:r w:rsidRPr="00BA7516">
              <w:rPr>
                <w:rFonts w:asciiTheme="minorHAnsi" w:hAnsiTheme="minorHAnsi"/>
                <w:sz w:val="20"/>
                <w:szCs w:val="20"/>
              </w:rPr>
              <w:t>21 July 2016</w:t>
            </w:r>
          </w:p>
        </w:tc>
        <w:tc>
          <w:tcPr>
            <w:tcW w:w="3155" w:type="dxa"/>
          </w:tcPr>
          <w:p w:rsidR="003F756C" w:rsidRDefault="003F756C" w:rsidP="003F75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MAV Flr 11 or 12, </w:t>
            </w:r>
          </w:p>
          <w:p w:rsidR="001E22D0" w:rsidRPr="00BA7516" w:rsidRDefault="003F756C" w:rsidP="003F75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 Collins St, Melbourne</w:t>
            </w:r>
          </w:p>
        </w:tc>
        <w:tc>
          <w:tcPr>
            <w:tcW w:w="3858" w:type="dxa"/>
          </w:tcPr>
          <w:p w:rsidR="001E22D0" w:rsidRDefault="00E744C7" w:rsidP="004A3A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eB</w:t>
            </w:r>
            <w:r w:rsidR="001E22D0" w:rsidRPr="00BA7516">
              <w:rPr>
                <w:rFonts w:asciiTheme="minorHAnsi" w:hAnsiTheme="minorHAnsi"/>
                <w:sz w:val="20"/>
                <w:szCs w:val="20"/>
              </w:rPr>
              <w:t>ook advocacy</w:t>
            </w:r>
          </w:p>
          <w:p w:rsidR="004A3AE7" w:rsidRPr="00BA7516" w:rsidRDefault="004A3AE7" w:rsidP="004A3A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Collection Summit topic/s for September meeting</w:t>
            </w:r>
          </w:p>
        </w:tc>
        <w:tc>
          <w:tcPr>
            <w:tcW w:w="2652" w:type="dxa"/>
          </w:tcPr>
          <w:p w:rsidR="001E22D0" w:rsidRPr="00746B87" w:rsidRDefault="00AA1016">
            <w:pPr>
              <w:rPr>
                <w:rFonts w:asciiTheme="minorHAnsi" w:hAnsiTheme="minorHAnsi"/>
                <w:sz w:val="20"/>
                <w:szCs w:val="20"/>
              </w:rPr>
            </w:pPr>
            <w:r w:rsidRPr="00746B87">
              <w:rPr>
                <w:rFonts w:asciiTheme="minorHAnsi" w:hAnsiTheme="minorHAnsi"/>
                <w:sz w:val="20"/>
                <w:szCs w:val="20"/>
              </w:rPr>
              <w:t>Sherrill (GRL) &amp; Anita (YPRL)</w:t>
            </w:r>
          </w:p>
        </w:tc>
        <w:tc>
          <w:tcPr>
            <w:tcW w:w="3943" w:type="dxa"/>
            <w:tcBorders>
              <w:right w:val="single" w:sz="12" w:space="0" w:color="auto"/>
            </w:tcBorders>
          </w:tcPr>
          <w:p w:rsidR="001E22D0" w:rsidRPr="00BA7516" w:rsidRDefault="001E22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22D0" w:rsidTr="00154231">
        <w:trPr>
          <w:trHeight w:val="646"/>
        </w:trPr>
        <w:tc>
          <w:tcPr>
            <w:tcW w:w="1986" w:type="dxa"/>
            <w:tcBorders>
              <w:left w:val="single" w:sz="12" w:space="0" w:color="auto"/>
            </w:tcBorders>
          </w:tcPr>
          <w:p w:rsidR="001E22D0" w:rsidRPr="00BA7516" w:rsidRDefault="003F75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 September 2016</w:t>
            </w:r>
          </w:p>
        </w:tc>
        <w:tc>
          <w:tcPr>
            <w:tcW w:w="3155" w:type="dxa"/>
          </w:tcPr>
          <w:p w:rsidR="003F756C" w:rsidRDefault="003F756C" w:rsidP="003F75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MAV Flr 11 or 12, </w:t>
            </w:r>
          </w:p>
          <w:p w:rsidR="001E22D0" w:rsidRPr="00BA7516" w:rsidRDefault="003F756C" w:rsidP="003F75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 Collins St, Melbourne</w:t>
            </w:r>
          </w:p>
        </w:tc>
        <w:tc>
          <w:tcPr>
            <w:tcW w:w="3858" w:type="dxa"/>
          </w:tcPr>
          <w:p w:rsidR="001E22D0" w:rsidRPr="00BA7516" w:rsidRDefault="00AA10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Topic based on Collections Summit outcome</w:t>
            </w:r>
            <w:r w:rsidR="00EF157E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2652" w:type="dxa"/>
          </w:tcPr>
          <w:p w:rsidR="001E22D0" w:rsidRPr="00BA7516" w:rsidRDefault="00AA10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TBA</w:t>
            </w:r>
          </w:p>
        </w:tc>
        <w:tc>
          <w:tcPr>
            <w:tcW w:w="3943" w:type="dxa"/>
            <w:tcBorders>
              <w:right w:val="single" w:sz="12" w:space="0" w:color="auto"/>
            </w:tcBorders>
          </w:tcPr>
          <w:p w:rsidR="001E22D0" w:rsidRPr="00BA7516" w:rsidRDefault="001E22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22D0" w:rsidTr="00E71B43">
        <w:tc>
          <w:tcPr>
            <w:tcW w:w="1986" w:type="dxa"/>
            <w:tcBorders>
              <w:left w:val="single" w:sz="12" w:space="0" w:color="auto"/>
              <w:bottom w:val="single" w:sz="12" w:space="0" w:color="auto"/>
            </w:tcBorders>
          </w:tcPr>
          <w:p w:rsidR="001E22D0" w:rsidRPr="00BA7516" w:rsidRDefault="00EF15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17 </w:t>
            </w:r>
            <w:r w:rsidR="003F756C">
              <w:rPr>
                <w:rFonts w:asciiTheme="minorHAnsi" w:hAnsiTheme="minorHAnsi"/>
                <w:sz w:val="20"/>
                <w:szCs w:val="20"/>
              </w:rPr>
              <w:t>November 2016</w:t>
            </w:r>
          </w:p>
        </w:tc>
        <w:tc>
          <w:tcPr>
            <w:tcW w:w="3155" w:type="dxa"/>
            <w:tcBorders>
              <w:bottom w:val="single" w:sz="12" w:space="0" w:color="auto"/>
            </w:tcBorders>
          </w:tcPr>
          <w:p w:rsidR="001E22D0" w:rsidRPr="00BA7516" w:rsidRDefault="003F75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Newport, Hobson Bay Libraries </w:t>
            </w:r>
            <w:r w:rsidR="00154231">
              <w:rPr>
                <w:rFonts w:asciiTheme="minorHAnsi" w:hAnsiTheme="minorHAnsi"/>
                <w:sz w:val="20"/>
                <w:szCs w:val="20"/>
              </w:rPr>
              <w:t xml:space="preserve">or MAV </w:t>
            </w:r>
            <w:r>
              <w:rPr>
                <w:rFonts w:asciiTheme="minorHAnsi" w:hAnsiTheme="minorHAnsi"/>
                <w:sz w:val="20"/>
                <w:szCs w:val="20"/>
              </w:rPr>
              <w:t>- TBC</w:t>
            </w:r>
          </w:p>
        </w:tc>
        <w:tc>
          <w:tcPr>
            <w:tcW w:w="3858" w:type="dxa"/>
            <w:tcBorders>
              <w:bottom w:val="single" w:sz="12" w:space="0" w:color="auto"/>
            </w:tcBorders>
          </w:tcPr>
          <w:p w:rsidR="001E22D0" w:rsidRPr="00BA7516" w:rsidRDefault="00AA10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Discoverability and Marketing </w:t>
            </w:r>
          </w:p>
        </w:tc>
        <w:tc>
          <w:tcPr>
            <w:tcW w:w="2652" w:type="dxa"/>
            <w:tcBorders>
              <w:bottom w:val="single" w:sz="12" w:space="0" w:color="auto"/>
            </w:tcBorders>
          </w:tcPr>
          <w:p w:rsidR="001E22D0" w:rsidRPr="00BA7516" w:rsidRDefault="00AA10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Karen (HBL) &amp; Caz (DLS)</w:t>
            </w:r>
          </w:p>
        </w:tc>
        <w:tc>
          <w:tcPr>
            <w:tcW w:w="3943" w:type="dxa"/>
            <w:tcBorders>
              <w:bottom w:val="single" w:sz="12" w:space="0" w:color="auto"/>
              <w:right w:val="single" w:sz="12" w:space="0" w:color="auto"/>
            </w:tcBorders>
          </w:tcPr>
          <w:p w:rsidR="001E22D0" w:rsidRPr="00BA7516" w:rsidRDefault="001E22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E4239" w:rsidRDefault="00EE4239"/>
    <w:sectPr w:rsidR="00EE4239" w:rsidSect="00EE4239">
      <w:footerReference w:type="defaul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20" w:rsidRDefault="007A2620" w:rsidP="003013CC">
      <w:r>
        <w:separator/>
      </w:r>
    </w:p>
  </w:endnote>
  <w:endnote w:type="continuationSeparator" w:id="0">
    <w:p w:rsidR="007A2620" w:rsidRDefault="007A2620" w:rsidP="0030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1778594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D6327" w:rsidRPr="003013CC" w:rsidRDefault="00ED6327">
            <w:pPr>
              <w:pStyle w:val="Footer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013CC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3013CC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013CC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3013C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172F3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013C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013CC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3013CC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013CC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3013C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172F3">
              <w:rPr>
                <w:rFonts w:asciiTheme="minorHAnsi" w:hAnsiTheme="minorHAnsi"/>
                <w:noProof/>
                <w:sz w:val="20"/>
                <w:szCs w:val="20"/>
              </w:rPr>
              <w:t>3</w:t>
            </w:r>
            <w:r w:rsidRPr="003013C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ED6327" w:rsidRDefault="00ED6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20" w:rsidRDefault="007A2620" w:rsidP="003013CC">
      <w:r>
        <w:separator/>
      </w:r>
    </w:p>
  </w:footnote>
  <w:footnote w:type="continuationSeparator" w:id="0">
    <w:p w:rsidR="007A2620" w:rsidRDefault="007A2620" w:rsidP="0030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4658"/>
    <w:multiLevelType w:val="hybridMultilevel"/>
    <w:tmpl w:val="A0486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240E8"/>
    <w:multiLevelType w:val="hybridMultilevel"/>
    <w:tmpl w:val="8C728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D3DA4"/>
    <w:multiLevelType w:val="hybridMultilevel"/>
    <w:tmpl w:val="F1E43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E2FB4"/>
    <w:multiLevelType w:val="hybridMultilevel"/>
    <w:tmpl w:val="9064F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13BE9"/>
    <w:multiLevelType w:val="multilevel"/>
    <w:tmpl w:val="4012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85232"/>
    <w:multiLevelType w:val="hybridMultilevel"/>
    <w:tmpl w:val="A42CC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E0802"/>
    <w:multiLevelType w:val="hybridMultilevel"/>
    <w:tmpl w:val="AA0C0F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20605F"/>
    <w:multiLevelType w:val="hybridMultilevel"/>
    <w:tmpl w:val="FF96A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509F0"/>
    <w:multiLevelType w:val="hybridMultilevel"/>
    <w:tmpl w:val="01128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39"/>
    <w:rsid w:val="000460F1"/>
    <w:rsid w:val="00053950"/>
    <w:rsid w:val="000D1630"/>
    <w:rsid w:val="000F2256"/>
    <w:rsid w:val="000F4559"/>
    <w:rsid w:val="001357C6"/>
    <w:rsid w:val="00140BE8"/>
    <w:rsid w:val="00154231"/>
    <w:rsid w:val="00154B8C"/>
    <w:rsid w:val="00160D83"/>
    <w:rsid w:val="001B76B5"/>
    <w:rsid w:val="001D1ACD"/>
    <w:rsid w:val="001E22D0"/>
    <w:rsid w:val="001E6282"/>
    <w:rsid w:val="00210A33"/>
    <w:rsid w:val="00221225"/>
    <w:rsid w:val="00224B37"/>
    <w:rsid w:val="0022740C"/>
    <w:rsid w:val="002441EB"/>
    <w:rsid w:val="002762AB"/>
    <w:rsid w:val="002A41C1"/>
    <w:rsid w:val="002C147C"/>
    <w:rsid w:val="002D5171"/>
    <w:rsid w:val="003013CC"/>
    <w:rsid w:val="003070E7"/>
    <w:rsid w:val="0035004E"/>
    <w:rsid w:val="0036513A"/>
    <w:rsid w:val="003A383C"/>
    <w:rsid w:val="003A40E2"/>
    <w:rsid w:val="003E58B5"/>
    <w:rsid w:val="003F756C"/>
    <w:rsid w:val="00403561"/>
    <w:rsid w:val="00407DCF"/>
    <w:rsid w:val="0042031F"/>
    <w:rsid w:val="00427A45"/>
    <w:rsid w:val="00435572"/>
    <w:rsid w:val="0045169A"/>
    <w:rsid w:val="00463AAA"/>
    <w:rsid w:val="004A3AE7"/>
    <w:rsid w:val="004D489A"/>
    <w:rsid w:val="005373BF"/>
    <w:rsid w:val="00547A0E"/>
    <w:rsid w:val="00593E8F"/>
    <w:rsid w:val="00594C41"/>
    <w:rsid w:val="005A4292"/>
    <w:rsid w:val="005B37C0"/>
    <w:rsid w:val="005C3C5C"/>
    <w:rsid w:val="005E3581"/>
    <w:rsid w:val="006512EB"/>
    <w:rsid w:val="00657E9E"/>
    <w:rsid w:val="00662D16"/>
    <w:rsid w:val="0067488B"/>
    <w:rsid w:val="00676BFA"/>
    <w:rsid w:val="006A4FF1"/>
    <w:rsid w:val="006C0CF7"/>
    <w:rsid w:val="006F3F8E"/>
    <w:rsid w:val="006F5224"/>
    <w:rsid w:val="006F66F3"/>
    <w:rsid w:val="00732CF2"/>
    <w:rsid w:val="00746B87"/>
    <w:rsid w:val="007547F4"/>
    <w:rsid w:val="00755285"/>
    <w:rsid w:val="00773994"/>
    <w:rsid w:val="00787DC2"/>
    <w:rsid w:val="007A2620"/>
    <w:rsid w:val="007B37B8"/>
    <w:rsid w:val="007C33DC"/>
    <w:rsid w:val="007F798B"/>
    <w:rsid w:val="00831844"/>
    <w:rsid w:val="008A54B3"/>
    <w:rsid w:val="008D4207"/>
    <w:rsid w:val="00910690"/>
    <w:rsid w:val="00911ED6"/>
    <w:rsid w:val="00917FB2"/>
    <w:rsid w:val="00943CE3"/>
    <w:rsid w:val="00943ECF"/>
    <w:rsid w:val="009A5E73"/>
    <w:rsid w:val="009C42BA"/>
    <w:rsid w:val="009E69D4"/>
    <w:rsid w:val="009E7D2F"/>
    <w:rsid w:val="00A21024"/>
    <w:rsid w:val="00A2780F"/>
    <w:rsid w:val="00A322BA"/>
    <w:rsid w:val="00A35876"/>
    <w:rsid w:val="00A508F3"/>
    <w:rsid w:val="00A92A73"/>
    <w:rsid w:val="00AA1016"/>
    <w:rsid w:val="00AC2322"/>
    <w:rsid w:val="00AC6354"/>
    <w:rsid w:val="00AD19DB"/>
    <w:rsid w:val="00AD28E2"/>
    <w:rsid w:val="00B172F3"/>
    <w:rsid w:val="00B25287"/>
    <w:rsid w:val="00BA7516"/>
    <w:rsid w:val="00BC02ED"/>
    <w:rsid w:val="00BD712C"/>
    <w:rsid w:val="00BF084D"/>
    <w:rsid w:val="00BF4E35"/>
    <w:rsid w:val="00C17AF8"/>
    <w:rsid w:val="00C24929"/>
    <w:rsid w:val="00C272C6"/>
    <w:rsid w:val="00C82433"/>
    <w:rsid w:val="00CC35FC"/>
    <w:rsid w:val="00CD0BD3"/>
    <w:rsid w:val="00D25A2C"/>
    <w:rsid w:val="00D34438"/>
    <w:rsid w:val="00D35C9A"/>
    <w:rsid w:val="00D44BFC"/>
    <w:rsid w:val="00D51387"/>
    <w:rsid w:val="00D649D1"/>
    <w:rsid w:val="00D80AE7"/>
    <w:rsid w:val="00D90E99"/>
    <w:rsid w:val="00D932FC"/>
    <w:rsid w:val="00DB0934"/>
    <w:rsid w:val="00DB25DE"/>
    <w:rsid w:val="00DD062B"/>
    <w:rsid w:val="00DD7382"/>
    <w:rsid w:val="00DF293A"/>
    <w:rsid w:val="00DF678E"/>
    <w:rsid w:val="00E54990"/>
    <w:rsid w:val="00E6388B"/>
    <w:rsid w:val="00E71B43"/>
    <w:rsid w:val="00E744C7"/>
    <w:rsid w:val="00EA0DF3"/>
    <w:rsid w:val="00ED127B"/>
    <w:rsid w:val="00ED6327"/>
    <w:rsid w:val="00EE2D4D"/>
    <w:rsid w:val="00EE4239"/>
    <w:rsid w:val="00EE4F3F"/>
    <w:rsid w:val="00EF157E"/>
    <w:rsid w:val="00EF5F0D"/>
    <w:rsid w:val="00F415E3"/>
    <w:rsid w:val="00F4779C"/>
    <w:rsid w:val="00F54145"/>
    <w:rsid w:val="00F5767D"/>
    <w:rsid w:val="00F8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2EB"/>
    <w:pPr>
      <w:ind w:left="720"/>
      <w:contextualSpacing/>
    </w:pPr>
  </w:style>
  <w:style w:type="table" w:styleId="TableGrid">
    <w:name w:val="Table Grid"/>
    <w:basedOn w:val="TableNormal"/>
    <w:uiPriority w:val="59"/>
    <w:rsid w:val="005B3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013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3CC"/>
  </w:style>
  <w:style w:type="paragraph" w:styleId="Footer">
    <w:name w:val="footer"/>
    <w:basedOn w:val="Normal"/>
    <w:link w:val="FooterChar"/>
    <w:uiPriority w:val="99"/>
    <w:unhideWhenUsed/>
    <w:rsid w:val="003013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3CC"/>
  </w:style>
  <w:style w:type="character" w:styleId="Hyperlink">
    <w:name w:val="Hyperlink"/>
    <w:basedOn w:val="DefaultParagraphFont"/>
    <w:uiPriority w:val="99"/>
    <w:unhideWhenUsed/>
    <w:rsid w:val="00350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2EB"/>
    <w:pPr>
      <w:ind w:left="720"/>
      <w:contextualSpacing/>
    </w:pPr>
  </w:style>
  <w:style w:type="table" w:styleId="TableGrid">
    <w:name w:val="Table Grid"/>
    <w:basedOn w:val="TableNormal"/>
    <w:uiPriority w:val="59"/>
    <w:rsid w:val="005B3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013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3CC"/>
  </w:style>
  <w:style w:type="paragraph" w:styleId="Footer">
    <w:name w:val="footer"/>
    <w:basedOn w:val="Normal"/>
    <w:link w:val="FooterChar"/>
    <w:uiPriority w:val="99"/>
    <w:unhideWhenUsed/>
    <w:rsid w:val="003013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3CC"/>
  </w:style>
  <w:style w:type="character" w:styleId="Hyperlink">
    <w:name w:val="Hyperlink"/>
    <w:basedOn w:val="DefaultParagraphFont"/>
    <w:uiPriority w:val="99"/>
    <w:unhideWhenUsed/>
    <w:rsid w:val="00350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ebbie.tate@melbourne.vic.gov.au" TargetMode="External"/><Relationship Id="rId18" Type="http://schemas.openxmlformats.org/officeDocument/2006/relationships/hyperlink" Target="mailto:michelle.donelly@maribyrnong.vic.gov.a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teresa.wight@cclc.vic.gov.a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arole.smith@darebin.vic.gov.au" TargetMode="External"/><Relationship Id="rId17" Type="http://schemas.openxmlformats.org/officeDocument/2006/relationships/hyperlink" Target="mailto:beth.luppino@maribyrnong.vic.gov.a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amP@ncgrl.vic.gov.au" TargetMode="External"/><Relationship Id="rId20" Type="http://schemas.openxmlformats.org/officeDocument/2006/relationships/hyperlink" Target="mailto:neville.harley@melbourne.vic.gov.a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usan.thomson@cgd.vic.gov.a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ichael.byrne@maribyrnong.vic.gov.au" TargetMode="External"/><Relationship Id="rId23" Type="http://schemas.openxmlformats.org/officeDocument/2006/relationships/hyperlink" Target="mailto:terrym@melton.vic.gov.au" TargetMode="External"/><Relationship Id="rId10" Type="http://schemas.openxmlformats.org/officeDocument/2006/relationships/hyperlink" Target="mailto:taniab@hume.vic.gov.au" TargetMode="External"/><Relationship Id="rId19" Type="http://schemas.openxmlformats.org/officeDocument/2006/relationships/hyperlink" Target="mailto:acatoggio@yprl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rrill.harvey@grlc.vic.gov.au" TargetMode="External"/><Relationship Id="rId14" Type="http://schemas.openxmlformats.org/officeDocument/2006/relationships/hyperlink" Target="mailto:NaomiB@egipps.vic.gov.au" TargetMode="External"/><Relationship Id="rId22" Type="http://schemas.openxmlformats.org/officeDocument/2006/relationships/hyperlink" Target="mailto:rserratore@mvcc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4674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Dandenong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Jackson (PLVN)</dc:creator>
  <cp:lastModifiedBy>Sherrill Harvey</cp:lastModifiedBy>
  <cp:revision>2</cp:revision>
  <cp:lastPrinted>2016-03-31T01:32:00Z</cp:lastPrinted>
  <dcterms:created xsi:type="dcterms:W3CDTF">2016-07-05T04:11:00Z</dcterms:created>
  <dcterms:modified xsi:type="dcterms:W3CDTF">2016-07-05T04:11:00Z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1341390058</vt:i4>
  </property>
  <property fmtid="{D5CDD505-2E9C-101B-9397-08002B2CF9AE}" pid="3" name="_NewReviewCycle">
    <vt:lpwstr/>
  </property>
  <property fmtid="{D5CDD505-2E9C-101B-9397-08002B2CF9AE}" pid="4" name="_EmailSubject">
    <vt:lpwstr>Collections SIG minutes  - meeting Thursday 19 May</vt:lpwstr>
  </property>
  <property fmtid="{D5CDD505-2E9C-101B-9397-08002B2CF9AE}" pid="5" name="_AuthorEmail">
    <vt:lpwstr>Beth.Luppino@maribyrnong.vic.gov.au</vt:lpwstr>
  </property>
  <property fmtid="{D5CDD505-2E9C-101B-9397-08002B2CF9AE}" pid="6" name="_AuthorEmailDisplayName">
    <vt:lpwstr>Beth Luppino</vt:lpwstr>
  </property>
  <property fmtid="{D5CDD505-2E9C-101B-9397-08002B2CF9AE}" pid="7" name="_ReviewingToolsShownOnce">
    <vt:lpwstr/>
  </property>
</Properties>
</file>